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4613A" w14:textId="3FADA677" w:rsidR="00A959C7" w:rsidRDefault="001E510D" w:rsidP="00A959C7">
      <w:pPr>
        <w:spacing w:before="100" w:beforeAutospacing="1" w:after="100" w:afterAutospacing="1"/>
        <w:contextualSpacing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Wyzwania dla polskiego biznesu</w:t>
      </w:r>
      <w:r w:rsidR="00385A3B">
        <w:rPr>
          <w:rFonts w:cs="Calibri"/>
          <w:b/>
          <w:bCs/>
          <w:sz w:val="28"/>
          <w:szCs w:val="28"/>
        </w:rPr>
        <w:t>. Ryzyko w sprzedaży B2B</w:t>
      </w:r>
    </w:p>
    <w:p w14:paraId="100BCD9A" w14:textId="77777777" w:rsidR="00385A3B" w:rsidRDefault="00385A3B" w:rsidP="00A959C7">
      <w:pPr>
        <w:spacing w:before="100" w:beforeAutospacing="1" w:after="100" w:afterAutospacing="1"/>
        <w:contextualSpacing/>
        <w:rPr>
          <w:rFonts w:cs="Calibri"/>
          <w:b/>
          <w:bCs/>
          <w:sz w:val="28"/>
          <w:szCs w:val="28"/>
        </w:rPr>
      </w:pPr>
    </w:p>
    <w:p w14:paraId="590628C9" w14:textId="3C0FCCFF" w:rsidR="001E64FE" w:rsidRPr="001E64FE" w:rsidRDefault="001E64FE" w:rsidP="001E64FE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1E64FE">
        <w:rPr>
          <w:rFonts w:cs="Calibri"/>
          <w:sz w:val="24"/>
          <w:szCs w:val="24"/>
        </w:rPr>
        <w:t xml:space="preserve">Sierpień statystycznie przynosi większą zmienność na rynkach finansowych, jednak w tym roku ta tendencja spełnia się już od </w:t>
      </w:r>
      <w:r>
        <w:rPr>
          <w:rFonts w:cs="Calibri"/>
          <w:sz w:val="24"/>
          <w:szCs w:val="24"/>
        </w:rPr>
        <w:t xml:space="preserve">samego </w:t>
      </w:r>
      <w:r w:rsidRPr="001E64FE">
        <w:rPr>
          <w:rFonts w:cs="Calibri"/>
          <w:sz w:val="24"/>
          <w:szCs w:val="24"/>
        </w:rPr>
        <w:t xml:space="preserve">początku miesiąca. Jak wskazuje biuro maklerskie BNP </w:t>
      </w:r>
      <w:proofErr w:type="spellStart"/>
      <w:r w:rsidRPr="001E64FE">
        <w:rPr>
          <w:rFonts w:cs="Calibri"/>
          <w:sz w:val="24"/>
          <w:szCs w:val="24"/>
        </w:rPr>
        <w:t>Paribas</w:t>
      </w:r>
      <w:proofErr w:type="spellEnd"/>
      <w:r w:rsidRPr="001E64FE">
        <w:rPr>
          <w:rFonts w:cs="Calibri"/>
          <w:sz w:val="24"/>
          <w:szCs w:val="24"/>
        </w:rPr>
        <w:t>, imponuje również skala wzrostu zmienności, którą dobrze obrazuje wzrost wartości indeksu VIX, czyli tzw. indeksu strachu – indeks ten odzwierciedla oczekiwania rynku co do prognozowanej</w:t>
      </w:r>
      <w:r>
        <w:rPr>
          <w:rFonts w:cs="Calibri"/>
          <w:sz w:val="24"/>
          <w:szCs w:val="24"/>
        </w:rPr>
        <w:t xml:space="preserve"> </w:t>
      </w:r>
      <w:r w:rsidRPr="001E64FE">
        <w:rPr>
          <w:rFonts w:cs="Calibri"/>
          <w:sz w:val="24"/>
          <w:szCs w:val="24"/>
        </w:rPr>
        <w:t>zmienności indeksu S&amp;P 500. Poziomy sesyjne powyżej 60 pkt. ostatnio były obserwowane w otoczeniu kryzysu finansowego sprzed dekady czy w okresie początków pandemii. Na wzrost zmienności wpływ miało kilka istotnych czynników.</w:t>
      </w:r>
    </w:p>
    <w:p w14:paraId="5C577FF5" w14:textId="77777777" w:rsidR="001E64FE" w:rsidRPr="001E64FE" w:rsidRDefault="001E64FE" w:rsidP="001E64FE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0B0C4C59" w14:textId="7350F782" w:rsidR="00385A3B" w:rsidRDefault="001E64FE" w:rsidP="001E64FE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 pierwsze, s</w:t>
      </w:r>
      <w:r w:rsidRPr="001E64FE">
        <w:rPr>
          <w:rFonts w:cs="Calibri"/>
          <w:sz w:val="24"/>
          <w:szCs w:val="24"/>
        </w:rPr>
        <w:t xml:space="preserve">łabsze odczyty makroekonomiczne ze Stanów Zjednoczonych, które wzbudziły obawy o kondycję amerykańskiej gospodarki. W rezultacie rynek szybko dokonał rewizji dla ścieżki stóp procentowych, wyceniając z niemal 100% prawdopodobieństwem obniżkę na wrześniowym posiedzeniu o 50 </w:t>
      </w:r>
      <w:proofErr w:type="spellStart"/>
      <w:r w:rsidRPr="001E64FE">
        <w:rPr>
          <w:rFonts w:cs="Calibri"/>
          <w:sz w:val="24"/>
          <w:szCs w:val="24"/>
        </w:rPr>
        <w:t>pb</w:t>
      </w:r>
      <w:proofErr w:type="spellEnd"/>
      <w:r w:rsidRPr="001E64FE">
        <w:rPr>
          <w:rFonts w:cs="Calibri"/>
          <w:sz w:val="24"/>
          <w:szCs w:val="24"/>
        </w:rPr>
        <w:t xml:space="preserve">., a w całym bieżącym roku oczekując cięć o co najmniej 100 </w:t>
      </w:r>
      <w:proofErr w:type="spellStart"/>
      <w:r w:rsidRPr="001E64FE">
        <w:rPr>
          <w:rFonts w:cs="Calibri"/>
          <w:sz w:val="24"/>
          <w:szCs w:val="24"/>
        </w:rPr>
        <w:t>pb</w:t>
      </w:r>
      <w:proofErr w:type="spellEnd"/>
      <w:r w:rsidRPr="001E64FE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Po drugie, n</w:t>
      </w:r>
      <w:r w:rsidRPr="001E64FE">
        <w:rPr>
          <w:rFonts w:cs="Calibri"/>
          <w:sz w:val="24"/>
          <w:szCs w:val="24"/>
        </w:rPr>
        <w:t xml:space="preserve">ieoczekiwane dalsze podwyżki stóp procentowych w Japonii, gdzie po ponad 15 latach od ostatniej podwyżki oraz po ośmiu latach utrzymywania stóp procentowych na ujemnych poziomach (-0,10%), w marcu </w:t>
      </w:r>
      <w:r>
        <w:rPr>
          <w:rFonts w:cs="Calibri"/>
          <w:sz w:val="24"/>
          <w:szCs w:val="24"/>
        </w:rPr>
        <w:t>br.</w:t>
      </w:r>
      <w:r w:rsidRPr="001E64FE">
        <w:rPr>
          <w:rFonts w:cs="Calibri"/>
          <w:sz w:val="24"/>
          <w:szCs w:val="24"/>
        </w:rPr>
        <w:t xml:space="preserve"> Bank Japonii (</w:t>
      </w:r>
      <w:proofErr w:type="spellStart"/>
      <w:r w:rsidRPr="001E64FE">
        <w:rPr>
          <w:rFonts w:cs="Calibri"/>
          <w:sz w:val="24"/>
          <w:szCs w:val="24"/>
        </w:rPr>
        <w:t>BoJ</w:t>
      </w:r>
      <w:proofErr w:type="spellEnd"/>
      <w:r w:rsidRPr="001E64FE">
        <w:rPr>
          <w:rFonts w:cs="Calibri"/>
          <w:sz w:val="24"/>
          <w:szCs w:val="24"/>
        </w:rPr>
        <w:t xml:space="preserve">) podniósł koszt pieniądza do poziomu 0%. Na początku sierpnia </w:t>
      </w:r>
      <w:proofErr w:type="spellStart"/>
      <w:r w:rsidRPr="001E64FE">
        <w:rPr>
          <w:rFonts w:cs="Calibri"/>
          <w:sz w:val="24"/>
          <w:szCs w:val="24"/>
        </w:rPr>
        <w:t>BoJ</w:t>
      </w:r>
      <w:proofErr w:type="spellEnd"/>
      <w:r w:rsidRPr="001E64FE">
        <w:rPr>
          <w:rFonts w:cs="Calibri"/>
          <w:sz w:val="24"/>
          <w:szCs w:val="24"/>
        </w:rPr>
        <w:t xml:space="preserve"> niespodziewanie podwyższył stopę procentową do poziomu 0,25% oraz zapowiedział dalsze podwyżki. Przyspieszyło to aprecjację japońskiego jena, co będzie ciążyć gospodarce Kwitnącej Wiśni nastawionej na eksport. </w:t>
      </w:r>
      <w:r>
        <w:rPr>
          <w:rFonts w:cs="Calibri"/>
          <w:sz w:val="24"/>
          <w:szCs w:val="24"/>
        </w:rPr>
        <w:t>Po trzecie, w</w:t>
      </w:r>
      <w:r w:rsidRPr="001E64FE">
        <w:rPr>
          <w:rFonts w:cs="Calibri"/>
          <w:sz w:val="24"/>
          <w:szCs w:val="24"/>
        </w:rPr>
        <w:t xml:space="preserve">zrost ryzyka geopolitycznego nie tylko związanego z wojną na Ukrainie – niepewność co do dalszego przebiegu wojny w zależności od wyniku wyborów prezydenckich w USA – ale przede wszystkim w związku z eskalacją napięć na Bliskim Wschodzie. Wspomniane czynniki pozostają istotnymi argumentami dla strony podażowej, jednak w ocenie </w:t>
      </w:r>
      <w:r>
        <w:rPr>
          <w:rFonts w:cs="Calibri"/>
          <w:sz w:val="24"/>
          <w:szCs w:val="24"/>
        </w:rPr>
        <w:t xml:space="preserve">biura maklerskiego </w:t>
      </w:r>
      <w:r w:rsidRPr="001E64FE">
        <w:rPr>
          <w:rFonts w:cs="Calibri"/>
          <w:sz w:val="24"/>
          <w:szCs w:val="24"/>
        </w:rPr>
        <w:t xml:space="preserve">BNP </w:t>
      </w:r>
      <w:proofErr w:type="spellStart"/>
      <w:r w:rsidRPr="001E64FE">
        <w:rPr>
          <w:rFonts w:cs="Calibri"/>
          <w:sz w:val="24"/>
          <w:szCs w:val="24"/>
        </w:rPr>
        <w:t>Paribas</w:t>
      </w:r>
      <w:proofErr w:type="spellEnd"/>
      <w:r w:rsidRPr="001E64FE">
        <w:rPr>
          <w:rFonts w:cs="Calibri"/>
          <w:sz w:val="24"/>
          <w:szCs w:val="24"/>
        </w:rPr>
        <w:t xml:space="preserve"> ich odbiór przez rynek oraz skala zmian na rynkach wydaje się przesadzona.</w:t>
      </w:r>
    </w:p>
    <w:p w14:paraId="02F29963" w14:textId="77777777" w:rsidR="00093719" w:rsidRDefault="00093719" w:rsidP="001E64FE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2EAD1297" w14:textId="3450C7D6" w:rsidR="00093719" w:rsidRPr="00093719" w:rsidRDefault="00093719" w:rsidP="00093719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  <w:r w:rsidRPr="00093719">
        <w:rPr>
          <w:rFonts w:cs="Calibri"/>
          <w:b/>
          <w:bCs/>
          <w:sz w:val="24"/>
          <w:szCs w:val="24"/>
        </w:rPr>
        <w:t>Wydłużenie procesów decyzyjnych</w:t>
      </w:r>
    </w:p>
    <w:p w14:paraId="319EABC5" w14:textId="712189B7" w:rsidR="00093719" w:rsidRPr="00093719" w:rsidRDefault="00093719" w:rsidP="00093719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093719">
        <w:rPr>
          <w:rFonts w:cs="Calibri"/>
          <w:sz w:val="24"/>
          <w:szCs w:val="24"/>
        </w:rPr>
        <w:t>Na tle rosnącej zmienności na rynkach finansowych, która jest potęgowana przez szereg czynników makroekonomicznych i geopolitycznych, sprzedaż B2B staje się bardziej ryzykowna. Obecne warunki mogą wpłynąć na wzrost niepewności wśród klientów korporacyjnych, co z kolei przekłada się na wydłużenie procesów decyzyjnych, a także na większą ostrożność w podejmowaniu zobowiązań finansowych.</w:t>
      </w:r>
      <w:r>
        <w:rPr>
          <w:rFonts w:cs="Calibri"/>
          <w:sz w:val="24"/>
          <w:szCs w:val="24"/>
        </w:rPr>
        <w:t xml:space="preserve"> </w:t>
      </w:r>
      <w:r w:rsidRPr="00093719">
        <w:rPr>
          <w:rFonts w:cs="Calibri"/>
          <w:sz w:val="24"/>
          <w:szCs w:val="24"/>
        </w:rPr>
        <w:t xml:space="preserve">Wzrost zmienności na rynku, mierzony indeksem VIX, sugeruje większe ryzyko związane z przewidywaniem przyszłych warunków rynkowych, co może prowadzić do rezygnacji lub opóźnień w realizacji kontraktów. Firmy, obawiając się spadku przychodów, mogą być bardziej skłonne do renegocjacji warunków umów, a także do skrócenia terminów płatności, co zwiększa ryzyko płynności dla dostawców. Dodatkowo, sytuacja na rynkach walutowych, w szczególności wzrost wartości japońskiego jena, może </w:t>
      </w:r>
      <w:r w:rsidRPr="00093719">
        <w:rPr>
          <w:rFonts w:cs="Calibri"/>
          <w:sz w:val="24"/>
          <w:szCs w:val="24"/>
        </w:rPr>
        <w:lastRenderedPageBreak/>
        <w:t>wpływać na ceny eksportowanych dóbr, co dodatkowo komplikuje relacje handlowe i negocjacje cenowe w sektorze B2B.</w:t>
      </w:r>
    </w:p>
    <w:p w14:paraId="2F30659B" w14:textId="77777777" w:rsidR="00093719" w:rsidRPr="00093719" w:rsidRDefault="00093719" w:rsidP="00093719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1D9B9E73" w14:textId="2EDFF564" w:rsidR="00093719" w:rsidRDefault="00093719" w:rsidP="00093719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093719">
        <w:rPr>
          <w:rFonts w:cs="Calibri"/>
          <w:sz w:val="24"/>
          <w:szCs w:val="24"/>
        </w:rPr>
        <w:t>W kontekście geopolitycznym, napięcia na Bliskim Wschodzie oraz niepewność co do dalszego przebiegu wojny na Ukrainie, mogą prowadzić do nieprzewidywalnych zmian w politykach handlowych i sankcjach, co również wpływa na ryzyko w sprzedaży B2B. W takiej sytuacji, przedsiębiorstwa powinny rozważyć wdrożenie bardziej elastycznych strategii zarządzania ryzykiem, jak dywersyfikacja portfela klientów czy zawieranie umów z klauzulami zabezpieczającymi przed nagłymi zmianami warunków rynkowych.</w:t>
      </w:r>
    </w:p>
    <w:p w14:paraId="0678A0A0" w14:textId="77777777" w:rsidR="00093719" w:rsidRDefault="00093719" w:rsidP="00093719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6B8763CA" w14:textId="7B16E6AE" w:rsidR="00093719" w:rsidRPr="001E64FE" w:rsidRDefault="00093719" w:rsidP="00093719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093719">
        <w:rPr>
          <w:rFonts w:cs="Calibri"/>
          <w:sz w:val="24"/>
          <w:szCs w:val="24"/>
        </w:rPr>
        <w:t xml:space="preserve">Faktoring jest skuteczną odpowiedzią na ryzyka związane ze sprzedażą B2B, zwłaszcza w obliczu obecnej sytuacji na rynkach finansowych. W czasie zwiększonej niepewności gospodarczej, przedsiębiorstwa często zmagają się z opóźnieniami w płatnościach i trudnościami w zarządzaniu płynnością finansową. Faktoring pozwala firmom na natychmiastowe pozyskanie gotówki z nieopłaconych faktur, co zmniejsza ryzyko zatorów płatniczych i poprawia płynność finansową. </w:t>
      </w:r>
      <w:r w:rsidR="00A740F5">
        <w:rPr>
          <w:rFonts w:cs="Calibri"/>
          <w:sz w:val="24"/>
          <w:szCs w:val="24"/>
        </w:rPr>
        <w:t xml:space="preserve">Możliwość otrzymania natychmiastowej zapłaty za fakturę znacząco obniża ryzyko kursowe. Jeżeli </w:t>
      </w:r>
      <w:r w:rsidR="003B221F">
        <w:rPr>
          <w:rFonts w:cs="Calibri"/>
          <w:sz w:val="24"/>
          <w:szCs w:val="24"/>
        </w:rPr>
        <w:t>przedsiębiorca musi</w:t>
      </w:r>
      <w:r w:rsidR="00A740F5">
        <w:rPr>
          <w:rFonts w:cs="Calibri"/>
          <w:sz w:val="24"/>
          <w:szCs w:val="24"/>
        </w:rPr>
        <w:t xml:space="preserve"> czekać na zapłatę faktury n</w:t>
      </w:r>
      <w:r w:rsidR="003B221F">
        <w:rPr>
          <w:rFonts w:cs="Calibri"/>
          <w:sz w:val="24"/>
          <w:szCs w:val="24"/>
        </w:rPr>
        <w:t xml:space="preserve">a przykład </w:t>
      </w:r>
      <w:r w:rsidR="00A740F5">
        <w:rPr>
          <w:rFonts w:cs="Calibri"/>
          <w:sz w:val="24"/>
          <w:szCs w:val="24"/>
        </w:rPr>
        <w:t>60 dni</w:t>
      </w:r>
      <w:r w:rsidR="003B221F">
        <w:rPr>
          <w:rFonts w:cs="Calibri"/>
          <w:sz w:val="24"/>
          <w:szCs w:val="24"/>
        </w:rPr>
        <w:t>,</w:t>
      </w:r>
      <w:r w:rsidR="00A740F5">
        <w:rPr>
          <w:rFonts w:cs="Calibri"/>
          <w:sz w:val="24"/>
          <w:szCs w:val="24"/>
        </w:rPr>
        <w:t xml:space="preserve"> to przez ten czas kurs walut może się znacząco zmienić i zniwelować oczekiwaną marżę. </w:t>
      </w:r>
      <w:r w:rsidR="0060322E">
        <w:rPr>
          <w:rFonts w:cs="Calibri"/>
          <w:sz w:val="24"/>
          <w:szCs w:val="24"/>
        </w:rPr>
        <w:t>Przy natychmiastowej wypłacie w faktoringu</w:t>
      </w:r>
      <w:r w:rsidR="003B221F">
        <w:rPr>
          <w:rFonts w:cs="Calibri"/>
          <w:sz w:val="24"/>
          <w:szCs w:val="24"/>
        </w:rPr>
        <w:t>,</w:t>
      </w:r>
      <w:r w:rsidR="0060322E">
        <w:rPr>
          <w:rFonts w:cs="Calibri"/>
          <w:sz w:val="24"/>
          <w:szCs w:val="24"/>
        </w:rPr>
        <w:t xml:space="preserve"> ryzyko znaczącej zmiany kursu jest bardzo małe.</w:t>
      </w:r>
      <w:r w:rsidR="00A740F5">
        <w:rPr>
          <w:rFonts w:cs="Calibri"/>
          <w:sz w:val="24"/>
          <w:szCs w:val="24"/>
        </w:rPr>
        <w:t xml:space="preserve">  </w:t>
      </w:r>
      <w:r w:rsidRPr="00093719">
        <w:rPr>
          <w:rFonts w:cs="Calibri"/>
          <w:sz w:val="24"/>
          <w:szCs w:val="24"/>
        </w:rPr>
        <w:t xml:space="preserve">Dzięki faktoringowi, przedsiębiorstwa mogą również przenieść ryzyko niewypłacalności swoich kontrahentów na instytucje finansowe, co jest szczególnie ważne w niestabilnym otoczeniu rynkowym. W obecnej sytuacji, gdzie wiele firm doświadcza trudności z powodu rosnących kosztów kredytów i zmiennych warunków gospodarczych, faktoring stanowi stabilne źródło finansowania bieżącej działalności, umożliwiając jednocześnie utrzymanie relacji z partnerami B2B. Dodatkowo, faktoring </w:t>
      </w:r>
      <w:r w:rsidR="00426BAA">
        <w:rPr>
          <w:rFonts w:cs="Calibri"/>
          <w:sz w:val="24"/>
          <w:szCs w:val="24"/>
        </w:rPr>
        <w:t xml:space="preserve">umożliwia </w:t>
      </w:r>
      <w:r w:rsidRPr="00093719">
        <w:rPr>
          <w:rFonts w:cs="Calibri"/>
          <w:sz w:val="24"/>
          <w:szCs w:val="24"/>
        </w:rPr>
        <w:t>firmom koncentrowanie się na rozwoju i ekspansji, zamiast na zarządzaniu ryzykiem kredytowym. W ten sposób, szczególnie w trudniejszych czasach, staje się nie tylko narzędziem finansowania, ale również strategicznym rozwiązaniem, które pomaga firmom przetrwać i rozwijać się w wymagającym otoczeniu rynkowym.</w:t>
      </w:r>
    </w:p>
    <w:p w14:paraId="783A24D9" w14:textId="77777777" w:rsidR="00291628" w:rsidRDefault="00291628" w:rsidP="00A959C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191956B8" w14:textId="7CFA72BF" w:rsidR="005F11C9" w:rsidRDefault="005F11C9" w:rsidP="005F11C9">
      <w:pPr>
        <w:spacing w:before="100" w:beforeAutospacing="1" w:after="100" w:afterAutospacing="1"/>
        <w:contextualSpacing/>
        <w:jc w:val="right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Paweł Kacprzak</w:t>
      </w:r>
    </w:p>
    <w:p w14:paraId="3B4DBBBE" w14:textId="5640B135" w:rsidR="005F11C9" w:rsidRDefault="005F11C9" w:rsidP="005F11C9">
      <w:pPr>
        <w:spacing w:before="100" w:beforeAutospacing="1" w:after="100" w:afterAutospacing="1"/>
        <w:contextualSpacing/>
        <w:jc w:val="right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Członek zarządu</w:t>
      </w:r>
    </w:p>
    <w:p w14:paraId="16937037" w14:textId="5F51EF97" w:rsidR="005F11C9" w:rsidRPr="005F11C9" w:rsidRDefault="005F11C9" w:rsidP="005F11C9">
      <w:pPr>
        <w:spacing w:before="100" w:beforeAutospacing="1" w:after="100" w:afterAutospacing="1"/>
        <w:contextualSpacing/>
        <w:jc w:val="right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 xml:space="preserve">BNP </w:t>
      </w:r>
      <w:proofErr w:type="spellStart"/>
      <w:r>
        <w:rPr>
          <w:rFonts w:cs="Calibri"/>
          <w:b/>
          <w:bCs/>
          <w:i/>
          <w:iCs/>
          <w:sz w:val="24"/>
          <w:szCs w:val="24"/>
        </w:rPr>
        <w:t>Paribas</w:t>
      </w:r>
      <w:proofErr w:type="spellEnd"/>
      <w:r>
        <w:rPr>
          <w:rFonts w:cs="Calibri"/>
          <w:b/>
          <w:bCs/>
          <w:i/>
          <w:iCs/>
          <w:sz w:val="24"/>
          <w:szCs w:val="24"/>
        </w:rPr>
        <w:t xml:space="preserve"> Faktoring</w:t>
      </w:r>
    </w:p>
    <w:p w14:paraId="5951DEE6" w14:textId="77777777" w:rsidR="00A959C7" w:rsidRPr="00A959C7" w:rsidRDefault="00A959C7" w:rsidP="00A959C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397CE394" w14:textId="77777777" w:rsidR="00A959C7" w:rsidRDefault="00A959C7" w:rsidP="00AF4168">
      <w:pPr>
        <w:spacing w:before="100" w:beforeAutospacing="1" w:after="100" w:afterAutospacing="1"/>
        <w:contextualSpacing/>
        <w:rPr>
          <w:rFonts w:cs="Calibri"/>
          <w:b/>
          <w:bCs/>
          <w:sz w:val="28"/>
          <w:szCs w:val="28"/>
        </w:rPr>
      </w:pPr>
    </w:p>
    <w:p w14:paraId="0CA1B65B" w14:textId="77777777" w:rsidR="00AF4168" w:rsidRDefault="00AF4168" w:rsidP="00AF4168">
      <w:pPr>
        <w:spacing w:before="100" w:beforeAutospacing="1" w:after="100" w:afterAutospacing="1"/>
        <w:contextualSpacing/>
        <w:rPr>
          <w:rFonts w:cs="Calibri"/>
          <w:b/>
          <w:bCs/>
          <w:sz w:val="28"/>
          <w:szCs w:val="28"/>
        </w:rPr>
      </w:pPr>
    </w:p>
    <w:p w14:paraId="180614F8" w14:textId="77777777" w:rsidR="00106D25" w:rsidRDefault="00106D25" w:rsidP="00285523">
      <w:pPr>
        <w:spacing w:before="100" w:beforeAutospacing="1" w:after="100" w:afterAutospacing="1"/>
        <w:contextualSpacing/>
        <w:jc w:val="center"/>
        <w:rPr>
          <w:rFonts w:cs="Calibri"/>
          <w:b/>
          <w:bCs/>
          <w:sz w:val="28"/>
          <w:szCs w:val="28"/>
        </w:rPr>
      </w:pPr>
    </w:p>
    <w:p w14:paraId="2C2646D8" w14:textId="2692F59B" w:rsidR="007C430C" w:rsidRPr="00124090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</w:p>
    <w:sectPr w:rsidR="007C430C" w:rsidRPr="001240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42005" w14:textId="77777777" w:rsidR="009132C1" w:rsidRDefault="009132C1" w:rsidP="007C430C">
      <w:pPr>
        <w:spacing w:after="0" w:line="240" w:lineRule="auto"/>
      </w:pPr>
      <w:r>
        <w:separator/>
      </w:r>
    </w:p>
  </w:endnote>
  <w:endnote w:type="continuationSeparator" w:id="0">
    <w:p w14:paraId="3E9F0BDF" w14:textId="77777777" w:rsidR="009132C1" w:rsidRDefault="009132C1" w:rsidP="007C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1B45F" w14:textId="77777777" w:rsidR="009132C1" w:rsidRDefault="009132C1" w:rsidP="007C430C">
      <w:pPr>
        <w:spacing w:after="0" w:line="240" w:lineRule="auto"/>
      </w:pPr>
      <w:r>
        <w:separator/>
      </w:r>
    </w:p>
  </w:footnote>
  <w:footnote w:type="continuationSeparator" w:id="0">
    <w:p w14:paraId="0D718155" w14:textId="77777777" w:rsidR="009132C1" w:rsidRDefault="009132C1" w:rsidP="007C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8E8C" w14:textId="77777777" w:rsidR="007C430C" w:rsidRDefault="001D716F" w:rsidP="007C430C">
    <w:pPr>
      <w:pStyle w:val="Nagwek"/>
      <w:jc w:val="center"/>
    </w:pPr>
    <w:r w:rsidRPr="00B4370B">
      <w:rPr>
        <w:noProof/>
        <w:lang w:eastAsia="pl-PL"/>
      </w:rPr>
      <w:drawing>
        <wp:inline distT="0" distB="0" distL="0" distR="0" wp14:anchorId="680EEA29" wp14:editId="1F3A0BE6">
          <wp:extent cx="3611880" cy="10134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88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0C"/>
    <w:rsid w:val="00027152"/>
    <w:rsid w:val="00050937"/>
    <w:rsid w:val="00051D9D"/>
    <w:rsid w:val="00052D6A"/>
    <w:rsid w:val="0005686E"/>
    <w:rsid w:val="00060453"/>
    <w:rsid w:val="00061570"/>
    <w:rsid w:val="00062187"/>
    <w:rsid w:val="00074E94"/>
    <w:rsid w:val="00093719"/>
    <w:rsid w:val="000B3BB9"/>
    <w:rsid w:val="000B486F"/>
    <w:rsid w:val="000B73EC"/>
    <w:rsid w:val="000D6C4F"/>
    <w:rsid w:val="000E0E4F"/>
    <w:rsid w:val="000E1D5D"/>
    <w:rsid w:val="000E44F0"/>
    <w:rsid w:val="00100274"/>
    <w:rsid w:val="0010191C"/>
    <w:rsid w:val="001021FC"/>
    <w:rsid w:val="00106D25"/>
    <w:rsid w:val="00124090"/>
    <w:rsid w:val="00141BAD"/>
    <w:rsid w:val="00144540"/>
    <w:rsid w:val="001543F0"/>
    <w:rsid w:val="00157CAF"/>
    <w:rsid w:val="00161687"/>
    <w:rsid w:val="001662C7"/>
    <w:rsid w:val="0018583B"/>
    <w:rsid w:val="0019498E"/>
    <w:rsid w:val="001D5A11"/>
    <w:rsid w:val="001D6E61"/>
    <w:rsid w:val="001D716F"/>
    <w:rsid w:val="001E1C13"/>
    <w:rsid w:val="001E26C3"/>
    <w:rsid w:val="001E510D"/>
    <w:rsid w:val="001E64FE"/>
    <w:rsid w:val="001F7380"/>
    <w:rsid w:val="002070FE"/>
    <w:rsid w:val="00210ED8"/>
    <w:rsid w:val="00216D49"/>
    <w:rsid w:val="0022109C"/>
    <w:rsid w:val="00222A28"/>
    <w:rsid w:val="002231DA"/>
    <w:rsid w:val="00232807"/>
    <w:rsid w:val="00232AE6"/>
    <w:rsid w:val="00285523"/>
    <w:rsid w:val="00291628"/>
    <w:rsid w:val="002923D2"/>
    <w:rsid w:val="002938B1"/>
    <w:rsid w:val="002A3F41"/>
    <w:rsid w:val="002B02AD"/>
    <w:rsid w:val="002B10F8"/>
    <w:rsid w:val="002D4A91"/>
    <w:rsid w:val="002E5B7B"/>
    <w:rsid w:val="00312C9D"/>
    <w:rsid w:val="00315304"/>
    <w:rsid w:val="003201AB"/>
    <w:rsid w:val="003229DB"/>
    <w:rsid w:val="00327202"/>
    <w:rsid w:val="00333591"/>
    <w:rsid w:val="00346382"/>
    <w:rsid w:val="003469BC"/>
    <w:rsid w:val="00352BEF"/>
    <w:rsid w:val="00366B18"/>
    <w:rsid w:val="00373BFE"/>
    <w:rsid w:val="00377188"/>
    <w:rsid w:val="00382AD0"/>
    <w:rsid w:val="00385A3B"/>
    <w:rsid w:val="003938D4"/>
    <w:rsid w:val="003A48F5"/>
    <w:rsid w:val="003B1988"/>
    <w:rsid w:val="003B221F"/>
    <w:rsid w:val="003C101F"/>
    <w:rsid w:val="003C74E7"/>
    <w:rsid w:val="003D667F"/>
    <w:rsid w:val="003F1F0D"/>
    <w:rsid w:val="003F56D2"/>
    <w:rsid w:val="004011A4"/>
    <w:rsid w:val="00424D40"/>
    <w:rsid w:val="00426BAA"/>
    <w:rsid w:val="00432FAD"/>
    <w:rsid w:val="00440852"/>
    <w:rsid w:val="00440945"/>
    <w:rsid w:val="00440995"/>
    <w:rsid w:val="00461A10"/>
    <w:rsid w:val="00462673"/>
    <w:rsid w:val="00463AE2"/>
    <w:rsid w:val="00472753"/>
    <w:rsid w:val="004749AC"/>
    <w:rsid w:val="004A784F"/>
    <w:rsid w:val="004C5847"/>
    <w:rsid w:val="004C5E96"/>
    <w:rsid w:val="004D2C3B"/>
    <w:rsid w:val="004D6519"/>
    <w:rsid w:val="004E4F10"/>
    <w:rsid w:val="004F6904"/>
    <w:rsid w:val="005005AA"/>
    <w:rsid w:val="00511FA8"/>
    <w:rsid w:val="00512E82"/>
    <w:rsid w:val="0051364A"/>
    <w:rsid w:val="00534301"/>
    <w:rsid w:val="0055656B"/>
    <w:rsid w:val="00560E4B"/>
    <w:rsid w:val="005618DA"/>
    <w:rsid w:val="005633C8"/>
    <w:rsid w:val="005A205E"/>
    <w:rsid w:val="005A21F4"/>
    <w:rsid w:val="005A66EC"/>
    <w:rsid w:val="005B11DF"/>
    <w:rsid w:val="005E48E2"/>
    <w:rsid w:val="005F11C9"/>
    <w:rsid w:val="005F50C8"/>
    <w:rsid w:val="0060322E"/>
    <w:rsid w:val="00634120"/>
    <w:rsid w:val="0066613A"/>
    <w:rsid w:val="006939F8"/>
    <w:rsid w:val="00693D58"/>
    <w:rsid w:val="0069585A"/>
    <w:rsid w:val="006B78BD"/>
    <w:rsid w:val="006C491D"/>
    <w:rsid w:val="006C7CCB"/>
    <w:rsid w:val="006D0730"/>
    <w:rsid w:val="006F2D11"/>
    <w:rsid w:val="006F3078"/>
    <w:rsid w:val="00700A11"/>
    <w:rsid w:val="00730A60"/>
    <w:rsid w:val="007405E4"/>
    <w:rsid w:val="00740BC7"/>
    <w:rsid w:val="00742610"/>
    <w:rsid w:val="00764C2E"/>
    <w:rsid w:val="00772BEE"/>
    <w:rsid w:val="00773091"/>
    <w:rsid w:val="007820DB"/>
    <w:rsid w:val="0078721D"/>
    <w:rsid w:val="007A0FDF"/>
    <w:rsid w:val="007A5718"/>
    <w:rsid w:val="007A7ECA"/>
    <w:rsid w:val="007B1149"/>
    <w:rsid w:val="007B1B6D"/>
    <w:rsid w:val="007C142B"/>
    <w:rsid w:val="007C430C"/>
    <w:rsid w:val="007E16B5"/>
    <w:rsid w:val="007E1739"/>
    <w:rsid w:val="0080426E"/>
    <w:rsid w:val="008135A8"/>
    <w:rsid w:val="0081421D"/>
    <w:rsid w:val="00844DBA"/>
    <w:rsid w:val="008457E7"/>
    <w:rsid w:val="00847760"/>
    <w:rsid w:val="00861F1B"/>
    <w:rsid w:val="00890B42"/>
    <w:rsid w:val="008C454C"/>
    <w:rsid w:val="008D1F29"/>
    <w:rsid w:val="008D2B4B"/>
    <w:rsid w:val="008D4A2C"/>
    <w:rsid w:val="00903301"/>
    <w:rsid w:val="0090387E"/>
    <w:rsid w:val="009132C1"/>
    <w:rsid w:val="00915A30"/>
    <w:rsid w:val="00946C7B"/>
    <w:rsid w:val="00993314"/>
    <w:rsid w:val="009B1B51"/>
    <w:rsid w:val="009C25C5"/>
    <w:rsid w:val="00A07567"/>
    <w:rsid w:val="00A15E5D"/>
    <w:rsid w:val="00A17636"/>
    <w:rsid w:val="00A7174B"/>
    <w:rsid w:val="00A740F5"/>
    <w:rsid w:val="00A745DF"/>
    <w:rsid w:val="00A87C9D"/>
    <w:rsid w:val="00A959C7"/>
    <w:rsid w:val="00AB3E8E"/>
    <w:rsid w:val="00AC753B"/>
    <w:rsid w:val="00AE4F25"/>
    <w:rsid w:val="00AF4168"/>
    <w:rsid w:val="00AF60B7"/>
    <w:rsid w:val="00B00E1B"/>
    <w:rsid w:val="00B03CAE"/>
    <w:rsid w:val="00B07955"/>
    <w:rsid w:val="00B12F51"/>
    <w:rsid w:val="00B25AC3"/>
    <w:rsid w:val="00B43AB5"/>
    <w:rsid w:val="00B5577E"/>
    <w:rsid w:val="00B62536"/>
    <w:rsid w:val="00B865EC"/>
    <w:rsid w:val="00BB3ED3"/>
    <w:rsid w:val="00BC4CCD"/>
    <w:rsid w:val="00BE6D57"/>
    <w:rsid w:val="00BF3867"/>
    <w:rsid w:val="00BF6AD9"/>
    <w:rsid w:val="00BF7B67"/>
    <w:rsid w:val="00C16DB7"/>
    <w:rsid w:val="00C267ED"/>
    <w:rsid w:val="00C56CCC"/>
    <w:rsid w:val="00C63B8C"/>
    <w:rsid w:val="00C7722F"/>
    <w:rsid w:val="00C82978"/>
    <w:rsid w:val="00C82989"/>
    <w:rsid w:val="00C87602"/>
    <w:rsid w:val="00CB045C"/>
    <w:rsid w:val="00CC0EBA"/>
    <w:rsid w:val="00CC1B11"/>
    <w:rsid w:val="00CE6CF2"/>
    <w:rsid w:val="00CE7194"/>
    <w:rsid w:val="00D016B7"/>
    <w:rsid w:val="00D03759"/>
    <w:rsid w:val="00D312DA"/>
    <w:rsid w:val="00D408C6"/>
    <w:rsid w:val="00D546EB"/>
    <w:rsid w:val="00D56970"/>
    <w:rsid w:val="00D74176"/>
    <w:rsid w:val="00D77924"/>
    <w:rsid w:val="00D80029"/>
    <w:rsid w:val="00D8426B"/>
    <w:rsid w:val="00D93D7A"/>
    <w:rsid w:val="00DB7289"/>
    <w:rsid w:val="00DC4A89"/>
    <w:rsid w:val="00DE0E30"/>
    <w:rsid w:val="00DF7DE1"/>
    <w:rsid w:val="00E01684"/>
    <w:rsid w:val="00E14D9B"/>
    <w:rsid w:val="00E30266"/>
    <w:rsid w:val="00E44EA0"/>
    <w:rsid w:val="00E7512A"/>
    <w:rsid w:val="00E84B44"/>
    <w:rsid w:val="00E8554B"/>
    <w:rsid w:val="00E97568"/>
    <w:rsid w:val="00EB035D"/>
    <w:rsid w:val="00ED6309"/>
    <w:rsid w:val="00EF27D2"/>
    <w:rsid w:val="00EF538D"/>
    <w:rsid w:val="00F01124"/>
    <w:rsid w:val="00F0114B"/>
    <w:rsid w:val="00F03449"/>
    <w:rsid w:val="00F10EFE"/>
    <w:rsid w:val="00F128FE"/>
    <w:rsid w:val="00F16629"/>
    <w:rsid w:val="00F30D5E"/>
    <w:rsid w:val="00F509B5"/>
    <w:rsid w:val="00F659E7"/>
    <w:rsid w:val="00F73130"/>
    <w:rsid w:val="00F76180"/>
    <w:rsid w:val="00FD1555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E629"/>
  <w15:chartTrackingRefBased/>
  <w15:docId w15:val="{F64E6369-12B6-433F-9E57-5743BAE8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43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30C"/>
  </w:style>
  <w:style w:type="paragraph" w:styleId="Stopka">
    <w:name w:val="footer"/>
    <w:basedOn w:val="Normalny"/>
    <w:link w:val="Stopka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30C"/>
  </w:style>
  <w:style w:type="character" w:styleId="Hipercze">
    <w:name w:val="Hyperlink"/>
    <w:uiPriority w:val="99"/>
    <w:unhideWhenUsed/>
    <w:rsid w:val="007C430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D5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A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5A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A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5A11"/>
    <w:rPr>
      <w:b/>
      <w:bCs/>
      <w:lang w:eastAsia="en-US"/>
    </w:rPr>
  </w:style>
  <w:style w:type="paragraph" w:styleId="Poprawka">
    <w:name w:val="Revision"/>
    <w:hidden/>
    <w:uiPriority w:val="99"/>
    <w:semiHidden/>
    <w:rsid w:val="0053430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A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A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AE6"/>
    <w:rPr>
      <w:vertAlign w:val="superscript"/>
    </w:rPr>
  </w:style>
  <w:style w:type="character" w:styleId="Uwydatnienie">
    <w:name w:val="Emphasis"/>
    <w:uiPriority w:val="20"/>
    <w:qFormat/>
    <w:rsid w:val="00285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5121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8257658</vt:i4>
      </vt:variant>
      <vt:variant>
        <vt:i4>0</vt:i4>
      </vt:variant>
      <vt:variant>
        <vt:i4>0</vt:i4>
      </vt:variant>
      <vt:variant>
        <vt:i4>5</vt:i4>
      </vt:variant>
      <vt:variant>
        <vt:lpwstr>http://www.faktoring.bnpparibas.pl/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cp:lastModifiedBy>Bart Sosnek</cp:lastModifiedBy>
  <cp:revision>2</cp:revision>
  <dcterms:created xsi:type="dcterms:W3CDTF">2024-08-27T15:15:00Z</dcterms:created>
  <dcterms:modified xsi:type="dcterms:W3CDTF">2024-08-27T15:15:00Z</dcterms:modified>
</cp:coreProperties>
</file>